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30AF" w14:textId="77777777" w:rsidR="00E31118" w:rsidRDefault="00E31118" w:rsidP="00E31118">
      <w:pPr>
        <w:spacing w:before="120" w:after="120" w:line="312" w:lineRule="auto"/>
        <w:jc w:val="center"/>
        <w:rPr>
          <w:rFonts w:ascii="Verdana" w:hAnsi="Verdana"/>
          <w:b/>
          <w:bCs/>
          <w:color w:val="385623" w:themeColor="accent6" w:themeShade="80"/>
          <w:sz w:val="32"/>
          <w:szCs w:val="32"/>
        </w:rPr>
      </w:pPr>
    </w:p>
    <w:p w14:paraId="14C196E2" w14:textId="293B9EF7" w:rsidR="00354C49" w:rsidRPr="00E31118" w:rsidRDefault="002D396B" w:rsidP="00E31118">
      <w:pPr>
        <w:spacing w:before="120" w:after="120" w:line="312" w:lineRule="auto"/>
        <w:jc w:val="center"/>
        <w:rPr>
          <w:rFonts w:ascii="Verdana" w:hAnsi="Verdana"/>
          <w:b/>
          <w:bCs/>
          <w:color w:val="385623" w:themeColor="accent6" w:themeShade="80"/>
          <w:sz w:val="32"/>
          <w:szCs w:val="32"/>
        </w:rPr>
      </w:pPr>
      <w:r w:rsidRPr="00E31118">
        <w:rPr>
          <w:rFonts w:ascii="Verdana" w:hAnsi="Verdana"/>
          <w:b/>
          <w:bCs/>
          <w:color w:val="385623" w:themeColor="accent6" w:themeShade="80"/>
          <w:sz w:val="32"/>
          <w:szCs w:val="32"/>
        </w:rPr>
        <w:t xml:space="preserve">Εκπαιδευτικά Σεμινάρια για την ΑΧΕ στα Κτίρια από τον Δήμο Θήρας στην Πράξη </w:t>
      </w:r>
      <w:r w:rsidR="00354C49" w:rsidRPr="00E31118">
        <w:rPr>
          <w:rFonts w:ascii="Verdana" w:hAnsi="Verdana"/>
          <w:b/>
          <w:bCs/>
          <w:color w:val="385623" w:themeColor="accent6" w:themeShade="80"/>
          <w:sz w:val="32"/>
          <w:szCs w:val="32"/>
          <w:lang w:val="en-US"/>
        </w:rPr>
        <w:t>STRATENERGY</w:t>
      </w:r>
    </w:p>
    <w:p w14:paraId="4A03C207" w14:textId="6C12F5F7" w:rsidR="00D616B0" w:rsidRPr="00E31118" w:rsidRDefault="004A7294" w:rsidP="00E3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>Πράξη</w:t>
      </w:r>
      <w:r w:rsidR="00D616B0" w:rsidRPr="00E31118">
        <w:rPr>
          <w:rFonts w:ascii="Verdana" w:hAnsi="Verdana"/>
        </w:rPr>
        <w:t xml:space="preserve">: </w:t>
      </w:r>
      <w:r w:rsidR="005A349C" w:rsidRPr="00E31118">
        <w:rPr>
          <w:rFonts w:ascii="Verdana" w:hAnsi="Verdana"/>
        </w:rPr>
        <w:t xml:space="preserve">Στρατηγική Διασυνοριακή Συνεργασία &amp; Κεφαλαιοποίηση Κοινής Προσέγγισης για την Εξοικονόμηση Ενέργειας στα Δημόσια Κτίρια / </w:t>
      </w:r>
      <w:r w:rsidR="005A349C" w:rsidRPr="00E31118">
        <w:rPr>
          <w:rFonts w:ascii="Verdana" w:hAnsi="Verdana"/>
          <w:lang w:val="en-US"/>
        </w:rPr>
        <w:t>STRATENERGY</w:t>
      </w:r>
      <w:r w:rsidR="0002316B" w:rsidRPr="00E31118">
        <w:rPr>
          <w:rFonts w:ascii="Verdana" w:hAnsi="Verdana"/>
        </w:rPr>
        <w:t>.</w:t>
      </w:r>
    </w:p>
    <w:p w14:paraId="5189281F" w14:textId="554D38FD" w:rsidR="00D616B0" w:rsidRPr="00E31118" w:rsidRDefault="00D616B0" w:rsidP="00E3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>Παραδοτέο</w:t>
      </w:r>
      <w:r w:rsidR="002D396B" w:rsidRPr="00E31118">
        <w:rPr>
          <w:rFonts w:ascii="Verdana" w:hAnsi="Verdana"/>
        </w:rPr>
        <w:t xml:space="preserve"> του Δήμου Θήρας</w:t>
      </w:r>
      <w:r w:rsidRPr="00E31118">
        <w:rPr>
          <w:rFonts w:ascii="Verdana" w:hAnsi="Verdana"/>
        </w:rPr>
        <w:t xml:space="preserve">: </w:t>
      </w:r>
      <w:r w:rsidR="002D396B" w:rsidRPr="00E31118">
        <w:rPr>
          <w:rFonts w:ascii="Verdana" w:hAnsi="Verdana"/>
        </w:rPr>
        <w:t xml:space="preserve">Εκπαιδευτικά Σεμινάρια για την Αποδοτική Χρήση Ενέργειας σε Κτίρια στις Κυκλάδες </w:t>
      </w:r>
      <w:r w:rsidR="00080808" w:rsidRPr="00E31118">
        <w:rPr>
          <w:rFonts w:ascii="Verdana" w:hAnsi="Verdana"/>
        </w:rPr>
        <w:t>(2.</w:t>
      </w:r>
      <w:r w:rsidR="002D396B" w:rsidRPr="00E31118">
        <w:rPr>
          <w:rFonts w:ascii="Verdana" w:hAnsi="Verdana"/>
        </w:rPr>
        <w:t>5</w:t>
      </w:r>
      <w:r w:rsidR="00080808" w:rsidRPr="00E31118">
        <w:rPr>
          <w:rFonts w:ascii="Verdana" w:hAnsi="Verdana"/>
        </w:rPr>
        <w:t>.2)</w:t>
      </w:r>
      <w:r w:rsidR="0002316B" w:rsidRPr="00E31118">
        <w:rPr>
          <w:rFonts w:ascii="Verdana" w:hAnsi="Verdana"/>
        </w:rPr>
        <w:t>.</w:t>
      </w:r>
    </w:p>
    <w:p w14:paraId="01EA3AE8" w14:textId="1520DBA9" w:rsidR="00D616B0" w:rsidRPr="00E31118" w:rsidRDefault="00D616B0" w:rsidP="00E31118">
      <w:pPr>
        <w:spacing w:before="120" w:after="120" w:line="312" w:lineRule="auto"/>
        <w:jc w:val="both"/>
        <w:rPr>
          <w:rFonts w:ascii="Verdana" w:hAnsi="Verdana"/>
        </w:rPr>
      </w:pPr>
    </w:p>
    <w:p w14:paraId="7DA268E6" w14:textId="6943A0D5" w:rsidR="009E070A" w:rsidRPr="00E31118" w:rsidRDefault="008C10A1" w:rsidP="00E31118">
      <w:pPr>
        <w:spacing w:before="120" w:after="120" w:line="312" w:lineRule="auto"/>
        <w:jc w:val="center"/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</w:pPr>
      <w:r w:rsidRPr="00E31118"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  <w:t>Στόχοι</w:t>
      </w:r>
    </w:p>
    <w:p w14:paraId="4580A38C" w14:textId="5D530DFC" w:rsidR="00D616B0" w:rsidRPr="00E31118" w:rsidRDefault="002D396B" w:rsidP="00E31118">
      <w:pP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Στο πλαίσιο του Παραδοτέο </w:t>
      </w:r>
      <w:r w:rsidR="0002316B" w:rsidRPr="00E31118">
        <w:rPr>
          <w:rFonts w:ascii="Verdana" w:hAnsi="Verdana"/>
        </w:rPr>
        <w:t xml:space="preserve">2.5.2 </w:t>
      </w:r>
      <w:r w:rsidRPr="00E31118">
        <w:rPr>
          <w:rFonts w:ascii="Verdana" w:hAnsi="Verdana"/>
        </w:rPr>
        <w:t xml:space="preserve">του Δήμου Θήρας στην Πράξη </w:t>
      </w:r>
      <w:r w:rsidRPr="00E31118">
        <w:rPr>
          <w:rFonts w:ascii="Verdana" w:hAnsi="Verdana"/>
          <w:lang w:val="en-US"/>
        </w:rPr>
        <w:t>STRATENERGY</w:t>
      </w:r>
      <w:r w:rsidRPr="00E31118">
        <w:rPr>
          <w:rFonts w:ascii="Verdana" w:hAnsi="Verdana"/>
        </w:rPr>
        <w:t xml:space="preserve"> και με βάση </w:t>
      </w:r>
      <w:r w:rsidR="00D616B0" w:rsidRPr="00E31118">
        <w:rPr>
          <w:rFonts w:ascii="Verdana" w:hAnsi="Verdana"/>
        </w:rPr>
        <w:t>την πρόοδο όλων των πιλοτικών στρατηγικών έργων</w:t>
      </w:r>
      <w:r w:rsidRPr="00E31118">
        <w:rPr>
          <w:rFonts w:ascii="Verdana" w:hAnsi="Verdana"/>
        </w:rPr>
        <w:t xml:space="preserve"> και </w:t>
      </w:r>
      <w:r w:rsidR="0002316B" w:rsidRPr="00E31118">
        <w:rPr>
          <w:rFonts w:ascii="Verdana" w:hAnsi="Verdana"/>
        </w:rPr>
        <w:t xml:space="preserve">των </w:t>
      </w:r>
      <w:r w:rsidRPr="00E31118">
        <w:rPr>
          <w:rFonts w:ascii="Verdana" w:hAnsi="Verdana"/>
        </w:rPr>
        <w:t>λοιπόν δραστηριοτήτων</w:t>
      </w:r>
      <w:r w:rsidR="00995630" w:rsidRPr="00E31118">
        <w:rPr>
          <w:rFonts w:ascii="Verdana" w:hAnsi="Verdana"/>
        </w:rPr>
        <w:t>,</w:t>
      </w:r>
      <w:r w:rsidR="00D616B0" w:rsidRPr="00E31118">
        <w:rPr>
          <w:rFonts w:ascii="Verdana" w:hAnsi="Verdana"/>
        </w:rPr>
        <w:t xml:space="preserve"> </w:t>
      </w:r>
      <w:r w:rsidR="00995630" w:rsidRPr="00E31118">
        <w:rPr>
          <w:rFonts w:ascii="Verdana" w:hAnsi="Verdana"/>
        </w:rPr>
        <w:t>θα πραγματοποιηθ</w:t>
      </w:r>
      <w:r w:rsidRPr="00E31118">
        <w:rPr>
          <w:rFonts w:ascii="Verdana" w:hAnsi="Verdana"/>
        </w:rPr>
        <w:t>ούν</w:t>
      </w:r>
      <w:r w:rsidR="00995630" w:rsidRPr="00E31118">
        <w:rPr>
          <w:rFonts w:ascii="Verdana" w:hAnsi="Verdana"/>
        </w:rPr>
        <w:t xml:space="preserve"> </w:t>
      </w:r>
      <w:r w:rsidRPr="00E31118">
        <w:rPr>
          <w:rFonts w:ascii="Verdana" w:hAnsi="Verdana"/>
        </w:rPr>
        <w:t>εκπαιδευτικές δράσεις του Δήμου Θήρας την Δευτέρα 6 και την Τρίτη 7 Ιουλίου 2020 στην Θήρα</w:t>
      </w:r>
      <w:r w:rsidR="00D616B0" w:rsidRPr="00E31118">
        <w:rPr>
          <w:rFonts w:ascii="Verdana" w:hAnsi="Verdana"/>
        </w:rPr>
        <w:t>.</w:t>
      </w:r>
      <w:r w:rsidRPr="00E31118">
        <w:rPr>
          <w:rFonts w:ascii="Verdana" w:hAnsi="Verdana"/>
        </w:rPr>
        <w:t xml:space="preserve"> Τις δράσεις θα υποστηρίξει επιστημονικά το Κέντρο Ανανεώσιμων Πηγών και Εξοικονόμησης </w:t>
      </w:r>
      <w:r w:rsidR="004E77D1" w:rsidRPr="00E31118">
        <w:rPr>
          <w:rFonts w:ascii="Verdana" w:hAnsi="Verdana"/>
        </w:rPr>
        <w:t xml:space="preserve">Ενέργειας </w:t>
      </w:r>
      <w:r w:rsidRPr="00E31118">
        <w:rPr>
          <w:rFonts w:ascii="Verdana" w:hAnsi="Verdana"/>
        </w:rPr>
        <w:t xml:space="preserve">(ΚΑΠΕ) που είναι </w:t>
      </w:r>
      <w:r w:rsidR="0002316B" w:rsidRPr="00E31118">
        <w:rPr>
          <w:rFonts w:ascii="Verdana" w:hAnsi="Verdana"/>
        </w:rPr>
        <w:t xml:space="preserve">ο </w:t>
      </w:r>
      <w:r w:rsidRPr="00E31118">
        <w:rPr>
          <w:rFonts w:ascii="Verdana" w:hAnsi="Verdana"/>
        </w:rPr>
        <w:t xml:space="preserve">Τεχνικός Εταίρος στην Πράξη </w:t>
      </w:r>
      <w:r w:rsidRPr="00E31118">
        <w:rPr>
          <w:rFonts w:ascii="Verdana" w:hAnsi="Verdana"/>
          <w:lang w:val="en-US"/>
        </w:rPr>
        <w:t>STRATENERGY</w:t>
      </w:r>
      <w:r w:rsidRPr="00E31118">
        <w:rPr>
          <w:rFonts w:ascii="Verdana" w:hAnsi="Verdana"/>
        </w:rPr>
        <w:t>.</w:t>
      </w:r>
    </w:p>
    <w:p w14:paraId="3F6F9813" w14:textId="7F8B4EA8" w:rsidR="00D616B0" w:rsidRPr="00E31118" w:rsidRDefault="002D396B" w:rsidP="00E31118">
      <w:pP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>Συγκεκριμένα</w:t>
      </w:r>
      <w:r w:rsidR="0002316B" w:rsidRPr="00E31118">
        <w:rPr>
          <w:rFonts w:ascii="Verdana" w:hAnsi="Verdana"/>
        </w:rPr>
        <w:t>,</w:t>
      </w:r>
      <w:r w:rsidRPr="00E31118">
        <w:rPr>
          <w:rFonts w:ascii="Verdana" w:hAnsi="Verdana"/>
        </w:rPr>
        <w:t xml:space="preserve"> σ</w:t>
      </w:r>
      <w:r w:rsidR="00D616B0" w:rsidRPr="00E31118">
        <w:rPr>
          <w:rFonts w:ascii="Verdana" w:hAnsi="Verdana"/>
        </w:rPr>
        <w:t xml:space="preserve">ε πλήρη συνέπεια με τις υποχρεώσεις </w:t>
      </w:r>
      <w:r w:rsidRPr="00E31118">
        <w:rPr>
          <w:rFonts w:ascii="Verdana" w:hAnsi="Verdana"/>
        </w:rPr>
        <w:t>του Δήμου Θήρας</w:t>
      </w:r>
      <w:r w:rsidR="00D616B0" w:rsidRPr="00E31118">
        <w:rPr>
          <w:rFonts w:ascii="Verdana" w:hAnsi="Verdana"/>
        </w:rPr>
        <w:t xml:space="preserve"> στην Πράξη θα πραγματοποιηθούν </w:t>
      </w:r>
      <w:r w:rsidRPr="00E31118">
        <w:rPr>
          <w:rFonts w:ascii="Verdana" w:hAnsi="Verdana"/>
        </w:rPr>
        <w:t>εκπαιδευτικές</w:t>
      </w:r>
      <w:r w:rsidR="00D616B0" w:rsidRPr="00E31118">
        <w:rPr>
          <w:rFonts w:ascii="Verdana" w:hAnsi="Verdana"/>
        </w:rPr>
        <w:t xml:space="preserve"> δράσεις ευαισθητοποίησης και ενημέρωσης για την Αποδοτική Χρήση Ενέργειας σε Δημόσια Κτίρια της Ελλάδας. Οι </w:t>
      </w:r>
      <w:r w:rsidR="0002316B" w:rsidRPr="00E31118">
        <w:rPr>
          <w:rFonts w:ascii="Verdana" w:hAnsi="Verdana"/>
        </w:rPr>
        <w:t>δράσεις</w:t>
      </w:r>
      <w:r w:rsidR="00D616B0" w:rsidRPr="00E31118">
        <w:rPr>
          <w:rFonts w:ascii="Verdana" w:hAnsi="Verdana"/>
        </w:rPr>
        <w:t xml:space="preserve"> θα </w:t>
      </w:r>
      <w:r w:rsidR="00D1003A" w:rsidRPr="00E31118">
        <w:rPr>
          <w:rFonts w:ascii="Verdana" w:hAnsi="Verdana"/>
        </w:rPr>
        <w:t xml:space="preserve">χωρίζονται σε 3 θεματικά αντικείμενα και θα </w:t>
      </w:r>
      <w:r w:rsidR="00D616B0" w:rsidRPr="00E31118">
        <w:rPr>
          <w:rFonts w:ascii="Verdana" w:hAnsi="Verdana"/>
        </w:rPr>
        <w:t xml:space="preserve">απευθύνονται σε στελέχη των </w:t>
      </w:r>
      <w:r w:rsidR="00F33D52" w:rsidRPr="00E31118">
        <w:rPr>
          <w:rFonts w:ascii="Verdana" w:hAnsi="Verdana"/>
        </w:rPr>
        <w:t xml:space="preserve">δημοσιών τομέων και στο ευρύ κοινό. Στόχος </w:t>
      </w:r>
      <w:r w:rsidR="00D616B0" w:rsidRPr="00E31118">
        <w:rPr>
          <w:rFonts w:ascii="Verdana" w:hAnsi="Verdana"/>
        </w:rPr>
        <w:t xml:space="preserve">είναι η </w:t>
      </w:r>
      <w:r w:rsidR="00F33D52" w:rsidRPr="00E31118">
        <w:rPr>
          <w:rFonts w:ascii="Verdana" w:hAnsi="Verdana"/>
        </w:rPr>
        <w:t xml:space="preserve">παρουσίαση και </w:t>
      </w:r>
      <w:r w:rsidR="00D616B0" w:rsidRPr="00E31118">
        <w:rPr>
          <w:rFonts w:ascii="Verdana" w:hAnsi="Verdana"/>
        </w:rPr>
        <w:t xml:space="preserve">ανάλυση των παραμέτρων </w:t>
      </w:r>
      <w:r w:rsidR="00D1003A" w:rsidRPr="00E31118">
        <w:rPr>
          <w:rFonts w:ascii="Verdana" w:hAnsi="Verdana"/>
        </w:rPr>
        <w:t>για την ΑΧΕ</w:t>
      </w:r>
      <w:r w:rsidR="00D616B0" w:rsidRPr="00E31118">
        <w:rPr>
          <w:rFonts w:ascii="Verdana" w:hAnsi="Verdana"/>
        </w:rPr>
        <w:t xml:space="preserve"> μέχρι το 2030, </w:t>
      </w:r>
      <w:r w:rsidR="0002316B" w:rsidRPr="00E31118">
        <w:rPr>
          <w:rFonts w:ascii="Verdana" w:hAnsi="Verdana"/>
        </w:rPr>
        <w:t>η ενημέρωση</w:t>
      </w:r>
      <w:r w:rsidR="00D616B0" w:rsidRPr="00E31118">
        <w:rPr>
          <w:rFonts w:ascii="Verdana" w:hAnsi="Verdana"/>
        </w:rPr>
        <w:t xml:space="preserve"> για τα αποτελέσματα του </w:t>
      </w:r>
      <w:r w:rsidR="00D616B0" w:rsidRPr="00E31118">
        <w:rPr>
          <w:rFonts w:ascii="Verdana" w:hAnsi="Verdana"/>
          <w:lang w:val="en-US"/>
        </w:rPr>
        <w:t>STRATENERGY</w:t>
      </w:r>
      <w:r w:rsidR="00D616B0" w:rsidRPr="00E31118">
        <w:rPr>
          <w:rFonts w:ascii="Verdana" w:hAnsi="Verdana"/>
        </w:rPr>
        <w:t xml:space="preserve">, </w:t>
      </w:r>
      <w:r w:rsidR="005A349C" w:rsidRPr="00E31118">
        <w:rPr>
          <w:rFonts w:ascii="Verdana" w:hAnsi="Verdana"/>
        </w:rPr>
        <w:t xml:space="preserve">για </w:t>
      </w:r>
      <w:r w:rsidR="00D616B0" w:rsidRPr="00E31118">
        <w:rPr>
          <w:rFonts w:ascii="Verdana" w:hAnsi="Verdana"/>
        </w:rPr>
        <w:t xml:space="preserve">την πληροφοριακή εφαρμογή </w:t>
      </w:r>
      <w:hyperlink r:id="rId7" w:history="1">
        <w:r w:rsidR="00D616B0" w:rsidRPr="00E31118">
          <w:rPr>
            <w:rStyle w:val="Hyperlink"/>
            <w:rFonts w:ascii="Verdana" w:hAnsi="Verdana"/>
            <w:lang w:val="en-US"/>
          </w:rPr>
          <w:t>www</w:t>
        </w:r>
        <w:r w:rsidR="00D616B0" w:rsidRPr="00E31118">
          <w:rPr>
            <w:rStyle w:val="Hyperlink"/>
            <w:rFonts w:ascii="Verdana" w:hAnsi="Verdana"/>
          </w:rPr>
          <w:t>.</w:t>
        </w:r>
        <w:proofErr w:type="spellStart"/>
        <w:r w:rsidR="00D616B0" w:rsidRPr="00E31118">
          <w:rPr>
            <w:rStyle w:val="Hyperlink"/>
            <w:rFonts w:ascii="Verdana" w:hAnsi="Verdana"/>
            <w:lang w:val="en-US"/>
          </w:rPr>
          <w:t>strat</w:t>
        </w:r>
        <w:proofErr w:type="spellEnd"/>
        <w:r w:rsidR="00D616B0" w:rsidRPr="00E31118">
          <w:rPr>
            <w:rStyle w:val="Hyperlink"/>
            <w:rFonts w:ascii="Verdana" w:hAnsi="Verdana"/>
          </w:rPr>
          <w:t>-</w:t>
        </w:r>
        <w:r w:rsidR="00D616B0" w:rsidRPr="00E31118">
          <w:rPr>
            <w:rStyle w:val="Hyperlink"/>
            <w:rFonts w:ascii="Verdana" w:hAnsi="Verdana"/>
            <w:lang w:val="en-US"/>
          </w:rPr>
          <w:t>energy</w:t>
        </w:r>
        <w:r w:rsidR="00D616B0" w:rsidRPr="00E31118">
          <w:rPr>
            <w:rStyle w:val="Hyperlink"/>
            <w:rFonts w:ascii="Verdana" w:hAnsi="Verdana"/>
          </w:rPr>
          <w:t>.</w:t>
        </w:r>
        <w:proofErr w:type="spellStart"/>
        <w:r w:rsidR="00D616B0" w:rsidRPr="00E31118">
          <w:rPr>
            <w:rStyle w:val="Hyperlink"/>
            <w:rFonts w:ascii="Verdana" w:hAnsi="Verdana"/>
            <w:lang w:val="en-US"/>
          </w:rPr>
          <w:t>eu</w:t>
        </w:r>
        <w:proofErr w:type="spellEnd"/>
      </w:hyperlink>
      <w:r w:rsidR="00D616B0" w:rsidRPr="00E31118">
        <w:rPr>
          <w:rFonts w:ascii="Verdana" w:hAnsi="Verdana"/>
        </w:rPr>
        <w:t xml:space="preserve"> </w:t>
      </w:r>
      <w:r w:rsidR="00995630" w:rsidRPr="00E31118">
        <w:rPr>
          <w:rFonts w:ascii="Verdana" w:hAnsi="Verdana"/>
        </w:rPr>
        <w:t xml:space="preserve">καθώς και για τις δυνατότητες </w:t>
      </w:r>
      <w:r w:rsidR="00D616B0" w:rsidRPr="00E31118">
        <w:rPr>
          <w:rFonts w:ascii="Verdana" w:hAnsi="Verdana"/>
        </w:rPr>
        <w:t>υποστήριξη</w:t>
      </w:r>
      <w:r w:rsidR="00995630" w:rsidRPr="00E31118">
        <w:rPr>
          <w:rFonts w:ascii="Verdana" w:hAnsi="Verdana"/>
        </w:rPr>
        <w:t>ς</w:t>
      </w:r>
      <w:r w:rsidR="00D616B0" w:rsidRPr="00E31118">
        <w:rPr>
          <w:rFonts w:ascii="Verdana" w:hAnsi="Verdana"/>
        </w:rPr>
        <w:t xml:space="preserve"> της </w:t>
      </w:r>
      <w:r w:rsidR="00D1003A" w:rsidRPr="00E31118">
        <w:rPr>
          <w:rFonts w:ascii="Verdana" w:hAnsi="Verdana"/>
        </w:rPr>
        <w:t>ΑΧΕ</w:t>
      </w:r>
      <w:r w:rsidR="00D616B0" w:rsidRPr="00E31118">
        <w:rPr>
          <w:rFonts w:ascii="Verdana" w:hAnsi="Verdana"/>
        </w:rPr>
        <w:t xml:space="preserve"> στα δημοσία κτίρια. </w:t>
      </w:r>
    </w:p>
    <w:p w14:paraId="0D324974" w14:textId="7343988A" w:rsidR="00F33D52" w:rsidRPr="00E31118" w:rsidRDefault="00F33D52" w:rsidP="00E31118">
      <w:pP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Ιδιαίτερη έμφαση θα δοθεί στην ενημέρωση για την </w:t>
      </w:r>
      <w:r w:rsidR="0002316B" w:rsidRPr="00E31118">
        <w:rPr>
          <w:rFonts w:ascii="Verdana" w:hAnsi="Verdana"/>
        </w:rPr>
        <w:t>ε</w:t>
      </w:r>
      <w:r w:rsidRPr="00E31118">
        <w:rPr>
          <w:rFonts w:ascii="Verdana" w:hAnsi="Verdana"/>
        </w:rPr>
        <w:t xml:space="preserve">πιδεικτική δράση ενσωμάτωσης τεχνολογιών ΑΧΕ στο Βρεφονηπιακό Σταθμό Επισκοπής Θήρας (ενεργειακά ξύλινα κουφώματα, αντλία θερμότητας &amp;ι εγκατάσταση σωμάτων στοιχείου/ανεμιστήρα - </w:t>
      </w:r>
      <w:proofErr w:type="spellStart"/>
      <w:r w:rsidRPr="00E31118">
        <w:rPr>
          <w:rFonts w:ascii="Verdana" w:hAnsi="Verdana"/>
        </w:rPr>
        <w:t>fan</w:t>
      </w:r>
      <w:proofErr w:type="spellEnd"/>
      <w:r w:rsidRPr="00E31118">
        <w:rPr>
          <w:rFonts w:ascii="Verdana" w:hAnsi="Verdana"/>
        </w:rPr>
        <w:t xml:space="preserve"> </w:t>
      </w:r>
      <w:proofErr w:type="spellStart"/>
      <w:r w:rsidRPr="00E31118">
        <w:rPr>
          <w:rFonts w:ascii="Verdana" w:hAnsi="Verdana"/>
        </w:rPr>
        <w:lastRenderedPageBreak/>
        <w:t>coils</w:t>
      </w:r>
      <w:proofErr w:type="spellEnd"/>
      <w:r w:rsidRPr="00E31118">
        <w:rPr>
          <w:rFonts w:ascii="Verdana" w:hAnsi="Verdana"/>
        </w:rPr>
        <w:t>, φωτιστικά τύπου LED, σύγχρονα μετρητικά συστήματα)</w:t>
      </w:r>
      <w:r w:rsidR="0002316B" w:rsidRPr="00E31118">
        <w:rPr>
          <w:rFonts w:ascii="Verdana" w:hAnsi="Verdana"/>
        </w:rPr>
        <w:t xml:space="preserve"> που πραγματοποιείται από τον Δήμο Θήρας στο πλαίσιο του </w:t>
      </w:r>
      <w:r w:rsidR="0002316B" w:rsidRPr="00E31118">
        <w:rPr>
          <w:rFonts w:ascii="Verdana" w:hAnsi="Verdana"/>
          <w:lang w:val="en-US"/>
        </w:rPr>
        <w:t>STRATENERGY</w:t>
      </w:r>
      <w:r w:rsidR="0002316B" w:rsidRPr="00E31118">
        <w:rPr>
          <w:rFonts w:ascii="Verdana" w:hAnsi="Verdana"/>
        </w:rPr>
        <w:t>.</w:t>
      </w:r>
    </w:p>
    <w:p w14:paraId="3729E127" w14:textId="2C1698CA" w:rsidR="00D616B0" w:rsidRPr="00E31118" w:rsidRDefault="00D616B0" w:rsidP="00E31118">
      <w:pP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Στο τέλος της </w:t>
      </w:r>
      <w:r w:rsidR="005A349C" w:rsidRPr="00E31118">
        <w:rPr>
          <w:rFonts w:ascii="Verdana" w:hAnsi="Verdana"/>
        </w:rPr>
        <w:t>εκδήλωσης</w:t>
      </w:r>
      <w:r w:rsidRPr="00E31118">
        <w:rPr>
          <w:rFonts w:ascii="Verdana" w:hAnsi="Verdana"/>
        </w:rPr>
        <w:t xml:space="preserve"> θα υπάρχει δυνατότητα για συζήτηση σχετικά με την ανάπτυξη στο τομέα των ΑΠΕ και ΕΞΕ στο δημόσιο τομέα.</w:t>
      </w:r>
    </w:p>
    <w:p w14:paraId="73356D64" w14:textId="63B2863E" w:rsidR="009E070A" w:rsidRPr="00E31118" w:rsidRDefault="009E070A" w:rsidP="00E31118">
      <w:pPr>
        <w:spacing w:before="120" w:after="120" w:line="312" w:lineRule="auto"/>
        <w:jc w:val="both"/>
        <w:rPr>
          <w:rFonts w:ascii="Verdana" w:hAnsi="Verdana"/>
        </w:rPr>
      </w:pPr>
    </w:p>
    <w:p w14:paraId="52D4EE89" w14:textId="7E63EC3D" w:rsidR="009E070A" w:rsidRPr="00E31118" w:rsidRDefault="008C10A1" w:rsidP="00E31118">
      <w:pPr>
        <w:spacing w:before="120" w:after="120" w:line="312" w:lineRule="auto"/>
        <w:jc w:val="center"/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</w:pPr>
      <w:r w:rsidRPr="00E31118"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  <w:t>Περιεχόμενο</w:t>
      </w:r>
      <w:r w:rsidR="009E070A" w:rsidRPr="00E31118"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F33D52" w:rsidRPr="00E31118"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  <w:t>Εκπαιδευτικών Σεμιναρίων</w:t>
      </w:r>
    </w:p>
    <w:p w14:paraId="42FBF994" w14:textId="5791E7A2" w:rsidR="00F33D52" w:rsidRPr="00E31118" w:rsidRDefault="00F33D52" w:rsidP="00E31118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312" w:lineRule="auto"/>
        <w:ind w:left="360"/>
        <w:jc w:val="both"/>
        <w:rPr>
          <w:rFonts w:ascii="Verdana" w:hAnsi="Verdana"/>
          <w:b/>
          <w:bCs/>
        </w:rPr>
      </w:pPr>
      <w:r w:rsidRPr="00E31118">
        <w:rPr>
          <w:rFonts w:ascii="Verdana" w:hAnsi="Verdana"/>
          <w:b/>
          <w:bCs/>
        </w:rPr>
        <w:t>Τα χαρακτηριστικά του περιβάλλοντος για την ΑΧΕ στα δημόσια κτίρια σήμερα:</w:t>
      </w:r>
    </w:p>
    <w:p w14:paraId="18E9B241" w14:textId="79F03F04" w:rsidR="00F33D52" w:rsidRPr="00E31118" w:rsidRDefault="00F33D52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>Το Θεσμικό Πλαίσιο για την ΑΧΕ με ορίζοντα το 2030</w:t>
      </w:r>
      <w:r w:rsidR="0002316B" w:rsidRPr="00E31118">
        <w:rPr>
          <w:rFonts w:ascii="Verdana" w:hAnsi="Verdana"/>
        </w:rPr>
        <w:t>.</w:t>
      </w:r>
    </w:p>
    <w:p w14:paraId="6A7F6F47" w14:textId="61AC0FE8" w:rsidR="00F33D52" w:rsidRPr="00E31118" w:rsidRDefault="0002316B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>Επιτυχημένες Εφαρμογές</w:t>
      </w:r>
      <w:r w:rsidR="00F33D52" w:rsidRPr="00E31118">
        <w:rPr>
          <w:rFonts w:ascii="Verdana" w:hAnsi="Verdana"/>
        </w:rPr>
        <w:t xml:space="preserve"> για την  Ενσωμάτωση Τεχνολογιών Ανανεώσιμων Πηγών Ενέργειας σε Δημόσιους Φορείς</w:t>
      </w:r>
      <w:r w:rsidRPr="00E31118">
        <w:rPr>
          <w:rFonts w:ascii="Verdana" w:hAnsi="Verdana"/>
        </w:rPr>
        <w:t>.</w:t>
      </w:r>
    </w:p>
    <w:p w14:paraId="0555B6F5" w14:textId="629F7B91" w:rsidR="00F33D52" w:rsidRPr="00E31118" w:rsidRDefault="0002316B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Επιτυχημένες Εφαρμογές </w:t>
      </w:r>
      <w:r w:rsidR="00F33D52" w:rsidRPr="00E31118">
        <w:rPr>
          <w:rFonts w:ascii="Verdana" w:hAnsi="Verdana"/>
        </w:rPr>
        <w:t>για την Ενσωμάτωση Τεχνολογιών Εξοικονόμησης Ενέργειας σε Δημόσιους Φορείς</w:t>
      </w:r>
      <w:r w:rsidRPr="00E31118">
        <w:rPr>
          <w:rFonts w:ascii="Verdana" w:hAnsi="Verdana"/>
        </w:rPr>
        <w:t>.</w:t>
      </w:r>
    </w:p>
    <w:p w14:paraId="5E042024" w14:textId="3C04CF05" w:rsidR="00F33D52" w:rsidRPr="00E31118" w:rsidRDefault="00F33D52" w:rsidP="00E31118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312" w:lineRule="auto"/>
        <w:ind w:left="360"/>
        <w:jc w:val="both"/>
        <w:rPr>
          <w:rFonts w:ascii="Verdana" w:hAnsi="Verdana"/>
          <w:b/>
          <w:bCs/>
        </w:rPr>
      </w:pPr>
      <w:r w:rsidRPr="00E31118">
        <w:rPr>
          <w:rFonts w:ascii="Verdana" w:hAnsi="Verdana"/>
          <w:b/>
          <w:bCs/>
        </w:rPr>
        <w:t xml:space="preserve">Πιλοτικά έργα για την </w:t>
      </w:r>
      <w:r w:rsidR="008C10A1" w:rsidRPr="00E31118">
        <w:rPr>
          <w:rFonts w:ascii="Verdana" w:hAnsi="Verdana"/>
          <w:b/>
          <w:bCs/>
        </w:rPr>
        <w:t>Α</w:t>
      </w:r>
      <w:r w:rsidRPr="00E31118">
        <w:rPr>
          <w:rFonts w:ascii="Verdana" w:hAnsi="Verdana"/>
          <w:b/>
          <w:bCs/>
        </w:rPr>
        <w:t xml:space="preserve">ποδοτική </w:t>
      </w:r>
      <w:r w:rsidR="008C10A1" w:rsidRPr="00E31118">
        <w:rPr>
          <w:rFonts w:ascii="Verdana" w:hAnsi="Verdana"/>
          <w:b/>
          <w:bCs/>
        </w:rPr>
        <w:t>Χ</w:t>
      </w:r>
      <w:r w:rsidRPr="00E31118">
        <w:rPr>
          <w:rFonts w:ascii="Verdana" w:hAnsi="Verdana"/>
          <w:b/>
          <w:bCs/>
        </w:rPr>
        <w:t xml:space="preserve">ρήση </w:t>
      </w:r>
      <w:r w:rsidR="008C10A1" w:rsidRPr="00E31118">
        <w:rPr>
          <w:rFonts w:ascii="Verdana" w:hAnsi="Verdana"/>
          <w:b/>
          <w:bCs/>
        </w:rPr>
        <w:t>Ε</w:t>
      </w:r>
      <w:r w:rsidRPr="00E31118">
        <w:rPr>
          <w:rFonts w:ascii="Verdana" w:hAnsi="Verdana"/>
          <w:b/>
          <w:bCs/>
        </w:rPr>
        <w:t>νέργειας στον κτιριακό τομέα – Τα στρατηγικά έργα του STRATENERGY:</w:t>
      </w:r>
    </w:p>
    <w:p w14:paraId="2982885B" w14:textId="0AF9AD44" w:rsidR="00F33D52" w:rsidRPr="00E31118" w:rsidRDefault="00F33D52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>Το Πιλοτικό Έργο του Δήμου Θήρας στο STRATENERGY</w:t>
      </w:r>
      <w:r w:rsidR="0002316B" w:rsidRPr="00E31118">
        <w:rPr>
          <w:rFonts w:ascii="Verdana" w:hAnsi="Verdana"/>
        </w:rPr>
        <w:t>.</w:t>
      </w:r>
    </w:p>
    <w:p w14:paraId="100D2D33" w14:textId="1B544577" w:rsidR="00F33D52" w:rsidRPr="00E31118" w:rsidRDefault="00F33D52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>Τα Άλλα Πιλοτικά Έργα στην Ελλάδα και Κύπρο του STRATENERGY</w:t>
      </w:r>
      <w:r w:rsidR="0002316B" w:rsidRPr="00E31118">
        <w:rPr>
          <w:rFonts w:ascii="Verdana" w:hAnsi="Verdana"/>
        </w:rPr>
        <w:t>.</w:t>
      </w:r>
    </w:p>
    <w:p w14:paraId="648BB0DA" w14:textId="2778C4AC" w:rsidR="00F33D52" w:rsidRPr="00E31118" w:rsidRDefault="00F33D52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>Μετρητικά Συστήματα και Επιβεβαίωση των Αποτελεσμάτων των Πιλοτικών Έργων στο STRATENERGY</w:t>
      </w:r>
      <w:r w:rsidR="0002316B" w:rsidRPr="00E31118">
        <w:rPr>
          <w:rFonts w:ascii="Verdana" w:hAnsi="Verdana"/>
        </w:rPr>
        <w:t>.</w:t>
      </w:r>
    </w:p>
    <w:p w14:paraId="0E260868" w14:textId="60E2B05B" w:rsidR="00F33D52" w:rsidRPr="00E31118" w:rsidRDefault="00F33D52" w:rsidP="00E31118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312" w:lineRule="auto"/>
        <w:ind w:left="360"/>
        <w:jc w:val="both"/>
        <w:rPr>
          <w:rFonts w:ascii="Verdana" w:hAnsi="Verdana"/>
          <w:b/>
          <w:bCs/>
        </w:rPr>
      </w:pPr>
      <w:r w:rsidRPr="00E31118">
        <w:rPr>
          <w:rFonts w:ascii="Verdana" w:hAnsi="Verdana"/>
          <w:b/>
          <w:bCs/>
        </w:rPr>
        <w:t>Πληροφοριακή εφαρμογή για την υποστήριξη του στρατηγικού και επιχειρησιακού σχεδιασμού για την ΑΧΕ στα δημόσια κτίρια μέχρι το 2030:</w:t>
      </w:r>
    </w:p>
    <w:p w14:paraId="687EC0B1" w14:textId="5F1DD273" w:rsidR="00F33D52" w:rsidRPr="00E31118" w:rsidRDefault="00F33D52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>Η προσέγγιση του του στρατηγικού και επιχειρησιακού σχεδιασμού του STRATENERGY</w:t>
      </w:r>
      <w:r w:rsidR="0002316B" w:rsidRPr="00E31118">
        <w:rPr>
          <w:rFonts w:ascii="Verdana" w:hAnsi="Verdana"/>
        </w:rPr>
        <w:t>.</w:t>
      </w:r>
    </w:p>
    <w:p w14:paraId="2040EA41" w14:textId="77777777" w:rsidR="00F33D52" w:rsidRPr="00E31118" w:rsidRDefault="00F33D52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Τα Εργαλεία της Διαδικτυακής Εφαρμογής του STRATENERGY: </w:t>
      </w:r>
    </w:p>
    <w:p w14:paraId="0F7F66CD" w14:textId="25FE1A3A" w:rsidR="00F33D52" w:rsidRPr="00E31118" w:rsidRDefault="00F33D52" w:rsidP="00E31118">
      <w:pPr>
        <w:pStyle w:val="ListParagraph"/>
        <w:numPr>
          <w:ilvl w:val="0"/>
          <w:numId w:val="6"/>
        </w:numPr>
        <w:tabs>
          <w:tab w:val="clear" w:pos="1080"/>
        </w:tabs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>Το Εργαλείο των Αποφάσεων.</w:t>
      </w:r>
    </w:p>
    <w:p w14:paraId="25977681" w14:textId="30D622F9" w:rsidR="00F33D52" w:rsidRPr="00E31118" w:rsidRDefault="00F33D52" w:rsidP="00E31118">
      <w:pPr>
        <w:pStyle w:val="ListParagraph"/>
        <w:numPr>
          <w:ilvl w:val="0"/>
          <w:numId w:val="6"/>
        </w:numPr>
        <w:tabs>
          <w:tab w:val="clear" w:pos="1080"/>
        </w:tabs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>Το Έμπειρο Εργαλείο.</w:t>
      </w:r>
    </w:p>
    <w:p w14:paraId="13D9776A" w14:textId="7038B0F6" w:rsidR="00072556" w:rsidRPr="00E31118" w:rsidRDefault="00072556" w:rsidP="00E31118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before="120" w:after="120" w:line="312" w:lineRule="auto"/>
        <w:ind w:left="720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Ερωτήσεις </w:t>
      </w:r>
      <w:r w:rsidR="00F33D52" w:rsidRPr="00E31118">
        <w:rPr>
          <w:rFonts w:ascii="Verdana" w:hAnsi="Verdana"/>
        </w:rPr>
        <w:t>–</w:t>
      </w:r>
      <w:r w:rsidRPr="00E31118">
        <w:rPr>
          <w:rFonts w:ascii="Verdana" w:hAnsi="Verdana"/>
        </w:rPr>
        <w:t xml:space="preserve"> Συζήτηση</w:t>
      </w:r>
      <w:r w:rsidR="00F33D52" w:rsidRPr="00E31118">
        <w:rPr>
          <w:rFonts w:ascii="Verdana" w:hAnsi="Verdana"/>
        </w:rPr>
        <w:t>.</w:t>
      </w:r>
    </w:p>
    <w:p w14:paraId="419A715F" w14:textId="77777777" w:rsidR="00E31118" w:rsidRDefault="00E31118" w:rsidP="00E31118">
      <w:pPr>
        <w:spacing w:before="120" w:after="120" w:line="312" w:lineRule="auto"/>
        <w:jc w:val="both"/>
        <w:rPr>
          <w:rFonts w:ascii="Verdana" w:hAnsi="Verdana"/>
        </w:rPr>
      </w:pPr>
    </w:p>
    <w:p w14:paraId="5138361B" w14:textId="77777777" w:rsidR="00E31118" w:rsidRDefault="00E31118" w:rsidP="00E31118">
      <w:pPr>
        <w:spacing w:before="120" w:after="120" w:line="312" w:lineRule="auto"/>
        <w:jc w:val="both"/>
        <w:rPr>
          <w:rFonts w:ascii="Verdana" w:hAnsi="Verdana"/>
        </w:rPr>
      </w:pPr>
    </w:p>
    <w:p w14:paraId="38C82836" w14:textId="7AB4A46F" w:rsidR="00E31118" w:rsidRPr="00E31118" w:rsidRDefault="00E31118" w:rsidP="00E31118">
      <w:pPr>
        <w:spacing w:before="120" w:after="120" w:line="312" w:lineRule="auto"/>
        <w:jc w:val="center"/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Verdana" w:hAnsi="Verdana"/>
          <w:b/>
          <w:bCs/>
          <w:color w:val="385623" w:themeColor="accent6" w:themeShade="80"/>
          <w:sz w:val="28"/>
          <w:szCs w:val="28"/>
          <w:u w:val="single"/>
        </w:rPr>
        <w:t>Λεπτομέρειες για τα Εκπαιδευτικά Σεμινάρια</w:t>
      </w:r>
    </w:p>
    <w:p w14:paraId="7B47613D" w14:textId="5CFC2C31" w:rsidR="00E31118" w:rsidRPr="00E31118" w:rsidRDefault="00E31118" w:rsidP="00E31118">
      <w:pP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Οι δράσεις αυτές θα πραγματοποιηθούν: </w:t>
      </w:r>
    </w:p>
    <w:p w14:paraId="2FF18709" w14:textId="6F798B1F" w:rsidR="00E31118" w:rsidRPr="00E31118" w:rsidRDefault="00E31118" w:rsidP="00E31118">
      <w:pPr>
        <w:pStyle w:val="ListParagraph"/>
        <w:numPr>
          <w:ilvl w:val="0"/>
          <w:numId w:val="4"/>
        </w:numPr>
        <w:tabs>
          <w:tab w:val="clear" w:pos="1080"/>
          <w:tab w:val="num" w:pos="567"/>
        </w:tabs>
        <w:spacing w:before="120" w:after="120" w:line="312" w:lineRule="auto"/>
        <w:ind w:left="567" w:hanging="567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Σε </w:t>
      </w:r>
      <w:proofErr w:type="spellStart"/>
      <w:r w:rsidRPr="00E31118">
        <w:rPr>
          <w:rFonts w:ascii="Verdana" w:hAnsi="Verdana"/>
        </w:rPr>
        <w:t>στοχευμένού</w:t>
      </w:r>
      <w:proofErr w:type="spellEnd"/>
      <w:r w:rsidRPr="00E31118">
        <w:rPr>
          <w:rFonts w:ascii="Verdana" w:hAnsi="Verdana"/>
        </w:rPr>
        <w:t xml:space="preserve"> κοινού εκδήλωση την </w:t>
      </w:r>
      <w:r w:rsidRPr="00C81AC2">
        <w:rPr>
          <w:rFonts w:ascii="Verdana" w:hAnsi="Verdana"/>
          <w:b/>
          <w:bCs/>
        </w:rPr>
        <w:t>Δευτέρα 6 Ιουλίου στις 1</w:t>
      </w:r>
      <w:r w:rsidR="00C81AC2" w:rsidRPr="00C81AC2">
        <w:rPr>
          <w:rFonts w:ascii="Verdana" w:hAnsi="Verdana"/>
          <w:b/>
          <w:bCs/>
        </w:rPr>
        <w:t>2</w:t>
      </w:r>
      <w:r w:rsidRPr="00C81AC2">
        <w:rPr>
          <w:rFonts w:ascii="Verdana" w:hAnsi="Verdana"/>
          <w:b/>
          <w:bCs/>
        </w:rPr>
        <w:t>:00 στο Βρεφονηπιακό Σταθμό Επισκοπής Θήρας</w:t>
      </w:r>
      <w:r w:rsidRPr="00E31118">
        <w:rPr>
          <w:rFonts w:ascii="Verdana" w:hAnsi="Verdana"/>
        </w:rPr>
        <w:t>.</w:t>
      </w:r>
    </w:p>
    <w:p w14:paraId="2BBEE221" w14:textId="3E86BE69" w:rsidR="00072556" w:rsidRPr="00E31118" w:rsidRDefault="00E31118" w:rsidP="00E31118">
      <w:pPr>
        <w:pStyle w:val="ListParagraph"/>
        <w:numPr>
          <w:ilvl w:val="0"/>
          <w:numId w:val="4"/>
        </w:numPr>
        <w:tabs>
          <w:tab w:val="clear" w:pos="1080"/>
          <w:tab w:val="num" w:pos="567"/>
        </w:tabs>
        <w:spacing w:before="120" w:after="120" w:line="312" w:lineRule="auto"/>
        <w:ind w:left="567" w:hanging="567"/>
        <w:jc w:val="both"/>
        <w:rPr>
          <w:rFonts w:ascii="Verdana" w:hAnsi="Verdana"/>
        </w:rPr>
      </w:pPr>
      <w:r w:rsidRPr="00E31118">
        <w:rPr>
          <w:rFonts w:ascii="Verdana" w:hAnsi="Verdana"/>
        </w:rPr>
        <w:t xml:space="preserve">Σε ανοιχτού κοινού εκδήλωση την </w:t>
      </w:r>
      <w:r w:rsidRPr="00C81AC2">
        <w:rPr>
          <w:rFonts w:ascii="Verdana" w:hAnsi="Verdana"/>
          <w:b/>
          <w:bCs/>
        </w:rPr>
        <w:t xml:space="preserve">Τρίτη 7 Ιουλίου στις 10:00 στην Αίθουσα Συνεδριάσεων Δ.Α.Π.Π.Ο.Σ., </w:t>
      </w:r>
      <w:proofErr w:type="spellStart"/>
      <w:r w:rsidRPr="00C81AC2">
        <w:rPr>
          <w:rFonts w:ascii="Verdana" w:hAnsi="Verdana"/>
          <w:b/>
          <w:bCs/>
        </w:rPr>
        <w:t>Καρτεράδος</w:t>
      </w:r>
      <w:proofErr w:type="spellEnd"/>
      <w:r w:rsidRPr="00C81AC2">
        <w:rPr>
          <w:rFonts w:ascii="Verdana" w:hAnsi="Verdana"/>
          <w:b/>
          <w:bCs/>
        </w:rPr>
        <w:t xml:space="preserve"> Θήρας</w:t>
      </w:r>
      <w:r w:rsidRPr="00E31118">
        <w:rPr>
          <w:rFonts w:ascii="Verdana" w:hAnsi="Verdana"/>
        </w:rPr>
        <w:t>.</w:t>
      </w:r>
    </w:p>
    <w:p w14:paraId="5979151A" w14:textId="03D6B4A4" w:rsidR="00E31118" w:rsidRPr="00E31118" w:rsidRDefault="00E31118" w:rsidP="00E31118">
      <w:pP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>Οι δράσεις της 7</w:t>
      </w:r>
      <w:r w:rsidRPr="00C81AC2">
        <w:rPr>
          <w:rFonts w:ascii="Verdana" w:hAnsi="Verdana"/>
          <w:vertAlign w:val="superscript"/>
        </w:rPr>
        <w:t>η</w:t>
      </w:r>
      <w:r w:rsidR="00C81AC2" w:rsidRPr="00C81AC2">
        <w:rPr>
          <w:rFonts w:ascii="Verdana" w:hAnsi="Verdana"/>
        </w:rPr>
        <w:t xml:space="preserve"> </w:t>
      </w:r>
      <w:r w:rsidRPr="00E31118">
        <w:rPr>
          <w:rFonts w:ascii="Verdana" w:hAnsi="Verdana"/>
        </w:rPr>
        <w:t>Ιουλίου θα είναι ανοιχτές προς κάθε ενδιαφερόμενο φορέα με έμφαση στους εμπλεκόμενους στα έργα ενσωμάτωσης της ΑΧΕ στα κτίρια (Δήμος, Δημοτικές επιχειρήσεις, ελεύθεροι επαγγελματίες, πολίτες, κλπ.).</w:t>
      </w:r>
    </w:p>
    <w:p w14:paraId="522BE421" w14:textId="77777777" w:rsidR="00E31118" w:rsidRPr="00E31118" w:rsidRDefault="00E31118" w:rsidP="00E31118">
      <w:pPr>
        <w:spacing w:before="120" w:after="120" w:line="312" w:lineRule="auto"/>
        <w:jc w:val="both"/>
        <w:rPr>
          <w:rFonts w:ascii="Verdana" w:hAnsi="Verdana"/>
        </w:rPr>
      </w:pPr>
    </w:p>
    <w:p w14:paraId="3C2AE16A" w14:textId="24FE7DC6" w:rsidR="00E31118" w:rsidRPr="00E31118" w:rsidRDefault="00E31118" w:rsidP="00E31118">
      <w:pPr>
        <w:spacing w:before="120" w:after="120" w:line="312" w:lineRule="auto"/>
        <w:jc w:val="both"/>
        <w:rPr>
          <w:rFonts w:ascii="Verdana" w:hAnsi="Verdana"/>
        </w:rPr>
      </w:pPr>
      <w:r w:rsidRPr="00E31118">
        <w:rPr>
          <w:rFonts w:ascii="Verdana" w:hAnsi="Verdana"/>
        </w:rPr>
        <w:t>Το κοινό θα ενημερωθεί μέσα των </w:t>
      </w:r>
      <w:proofErr w:type="spellStart"/>
      <w:r w:rsidRPr="00E31118">
        <w:rPr>
          <w:rFonts w:ascii="Verdana" w:hAnsi="Verdana"/>
        </w:rPr>
        <w:t>social</w:t>
      </w:r>
      <w:proofErr w:type="spellEnd"/>
      <w:r w:rsidRPr="00E31118">
        <w:rPr>
          <w:rFonts w:ascii="Verdana" w:hAnsi="Verdana"/>
        </w:rPr>
        <w:t xml:space="preserve"> </w:t>
      </w:r>
      <w:proofErr w:type="spellStart"/>
      <w:r w:rsidRPr="00E31118">
        <w:rPr>
          <w:rFonts w:ascii="Verdana" w:hAnsi="Verdana"/>
        </w:rPr>
        <w:t>media</w:t>
      </w:r>
      <w:proofErr w:type="spellEnd"/>
      <w:r w:rsidRPr="00E31118">
        <w:rPr>
          <w:rFonts w:ascii="Verdana" w:hAnsi="Verdana"/>
        </w:rPr>
        <w:t> της Πράξης, από την ιστοσελίδα του Δήμου και μέσω των διαδικτυακών εργαλείων της πράξης μας.</w:t>
      </w:r>
    </w:p>
    <w:p w14:paraId="0313344A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5D135E07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03CCA76C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6937FBC8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0BCC8EEC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5B039773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31AD8CDF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6FA1B221" w14:textId="77777777" w:rsidR="00E31118" w:rsidRDefault="00E31118" w:rsidP="00E31118">
      <w:pPr>
        <w:spacing w:before="120" w:after="120" w:line="312" w:lineRule="auto"/>
        <w:rPr>
          <w:rFonts w:ascii="Verdana" w:hAnsi="Verdana"/>
        </w:rPr>
      </w:pPr>
    </w:p>
    <w:p w14:paraId="7F9AE468" w14:textId="6A022711" w:rsidR="00C62BA2" w:rsidRPr="00E31118" w:rsidRDefault="00C62BA2" w:rsidP="00E31118">
      <w:pPr>
        <w:spacing w:before="120" w:after="120" w:line="312" w:lineRule="auto"/>
        <w:rPr>
          <w:rFonts w:ascii="Verdana" w:hAnsi="Verdana"/>
        </w:rPr>
      </w:pPr>
      <w:r w:rsidRPr="00E3111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8ECC" wp14:editId="5472BB54">
                <wp:simplePos x="0" y="0"/>
                <wp:positionH relativeFrom="margin">
                  <wp:align>right</wp:align>
                </wp:positionH>
                <wp:positionV relativeFrom="paragraph">
                  <wp:posOffset>997789</wp:posOffset>
                </wp:positionV>
                <wp:extent cx="5943600" cy="362309"/>
                <wp:effectExtent l="0" t="0" r="0" b="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F1085B-41ED-4F3D-9548-52C41D0B40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2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55EEB" w14:textId="6C8579F0" w:rsidR="00C62BA2" w:rsidRPr="00C62BA2" w:rsidRDefault="00C62BA2" w:rsidP="00C62BA2">
                            <w:pPr>
                              <w:jc w:val="center"/>
                              <w:rPr>
                                <w:rFonts w:ascii="Verdana" w:hAnsi="Verdan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C62BA2">
                              <w:rPr>
                                <w:rFonts w:ascii="Verdana" w:hAnsi="Verdana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16"/>
                                <w:szCs w:val="16"/>
                              </w:rPr>
                              <w:t>Η Πράξη "STRATENERGY" συγχρηματοδοτείται από την Ευρωπαϊκή Ένωση (Ε.Τ.Π.Α.) και από Εθνικούς Πόρους της Ελλάδας και της Κύπρου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8ECC" id="Rectangle 13" o:spid="_x0000_s1026" style="position:absolute;margin-left:416.8pt;margin-top:78.55pt;width:468pt;height:28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" filled="f" stroked="f">
                <v:textbox>
                  <w:txbxContent>
                    <w:p w14:paraId="0D955EEB" w14:textId="6C8579F0" w:rsidR="00C62BA2" w:rsidRPr="00C62BA2" w:rsidRDefault="00C62BA2" w:rsidP="00C62BA2">
                      <w:pPr>
                        <w:jc w:val="center"/>
                        <w:rPr>
                          <w:rFonts w:ascii="Verdana" w:hAnsi="Verdan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C62BA2">
                        <w:rPr>
                          <w:rFonts w:ascii="Verdana" w:hAnsi="Verdana" w:cstheme="minorBidi"/>
                          <w:b/>
                          <w:bCs/>
                          <w:color w:val="385623" w:themeColor="accent6" w:themeShade="80"/>
                          <w:kern w:val="24"/>
                          <w:sz w:val="16"/>
                          <w:szCs w:val="16"/>
                        </w:rPr>
                        <w:t>Η Πράξη "STRATENERGY" συγχρηματοδοτείται από την Ευρωπαϊκή Ένωση (Ε.Τ.Π.Α.) και από Εθνικούς Πόρους της Ελλάδας και της Κύπρου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2BA2" w:rsidRPr="00E311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C982" w14:textId="77777777" w:rsidR="00471B7E" w:rsidRDefault="00471B7E" w:rsidP="00D616B0">
      <w:pPr>
        <w:spacing w:after="0" w:line="240" w:lineRule="auto"/>
      </w:pPr>
      <w:r>
        <w:separator/>
      </w:r>
    </w:p>
  </w:endnote>
  <w:endnote w:type="continuationSeparator" w:id="0">
    <w:p w14:paraId="6B521B3A" w14:textId="77777777" w:rsidR="00471B7E" w:rsidRDefault="00471B7E" w:rsidP="00D6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i/>
        <w:iCs/>
        <w:sz w:val="18"/>
        <w:szCs w:val="18"/>
      </w:rPr>
      <w:id w:val="-125157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D265E" w14:textId="3AA645C9" w:rsidR="004A7294" w:rsidRPr="004A7294" w:rsidRDefault="004A7294" w:rsidP="004A7294">
        <w:pPr>
          <w:pStyle w:val="Footer"/>
          <w:shd w:val="clear" w:color="auto" w:fill="BFBFBF" w:themeFill="background1" w:themeFillShade="BF"/>
          <w:jc w:val="right"/>
          <w:rPr>
            <w:rFonts w:ascii="Verdana" w:hAnsi="Verdana"/>
            <w:i/>
            <w:iCs/>
            <w:sz w:val="18"/>
            <w:szCs w:val="18"/>
          </w:rPr>
        </w:pPr>
        <w:r w:rsidRPr="004A7294">
          <w:rPr>
            <w:rFonts w:ascii="Verdana" w:hAnsi="Verdana"/>
            <w:i/>
            <w:iCs/>
            <w:sz w:val="18"/>
            <w:szCs w:val="18"/>
          </w:rPr>
          <w:t xml:space="preserve">Δήμος Θήρας, Παραδοτέο 2.5.2, Σελίδα </w:t>
        </w:r>
        <w:r w:rsidRPr="004A7294">
          <w:rPr>
            <w:rFonts w:ascii="Verdana" w:hAnsi="Verdana"/>
            <w:i/>
            <w:iCs/>
            <w:sz w:val="18"/>
            <w:szCs w:val="18"/>
          </w:rPr>
          <w:fldChar w:fldCharType="begin"/>
        </w:r>
        <w:r w:rsidRPr="004A7294">
          <w:rPr>
            <w:rFonts w:ascii="Verdana" w:hAnsi="Verdana"/>
            <w:i/>
            <w:iCs/>
            <w:sz w:val="18"/>
            <w:szCs w:val="18"/>
          </w:rPr>
          <w:instrText xml:space="preserve"> PAGE   \* MERGEFORMAT </w:instrText>
        </w:r>
        <w:r w:rsidRPr="004A7294">
          <w:rPr>
            <w:rFonts w:ascii="Verdana" w:hAnsi="Verdana"/>
            <w:i/>
            <w:iCs/>
            <w:sz w:val="18"/>
            <w:szCs w:val="18"/>
          </w:rPr>
          <w:fldChar w:fldCharType="separate"/>
        </w:r>
        <w:r w:rsidRPr="004A7294">
          <w:rPr>
            <w:rFonts w:ascii="Verdana" w:hAnsi="Verdana"/>
            <w:i/>
            <w:iCs/>
            <w:noProof/>
            <w:sz w:val="18"/>
            <w:szCs w:val="18"/>
          </w:rPr>
          <w:t>2</w:t>
        </w:r>
        <w:r w:rsidRPr="004A7294">
          <w:rPr>
            <w:rFonts w:ascii="Verdana" w:hAnsi="Verdana"/>
            <w:i/>
            <w:iCs/>
            <w:noProof/>
            <w:sz w:val="18"/>
            <w:szCs w:val="18"/>
          </w:rPr>
          <w:fldChar w:fldCharType="end"/>
        </w:r>
      </w:p>
    </w:sdtContent>
  </w:sdt>
  <w:p w14:paraId="6E5EF330" w14:textId="77777777" w:rsidR="004A7294" w:rsidRDefault="004A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AEE8" w14:textId="77777777" w:rsidR="00471B7E" w:rsidRDefault="00471B7E" w:rsidP="00D616B0">
      <w:pPr>
        <w:spacing w:after="0" w:line="240" w:lineRule="auto"/>
      </w:pPr>
      <w:r>
        <w:separator/>
      </w:r>
    </w:p>
  </w:footnote>
  <w:footnote w:type="continuationSeparator" w:id="0">
    <w:p w14:paraId="2ECC790E" w14:textId="77777777" w:rsidR="00471B7E" w:rsidRDefault="00471B7E" w:rsidP="00D6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E0F2" w14:textId="3E838E82" w:rsidR="00D616B0" w:rsidRDefault="005153EF">
    <w:pPr>
      <w:pStyle w:val="Header"/>
    </w:pPr>
    <w:r w:rsidRPr="005153EF">
      <w:drawing>
        <wp:inline distT="0" distB="0" distL="0" distR="0" wp14:anchorId="4AA3D94A" wp14:editId="78D829BA">
          <wp:extent cx="3163547" cy="152026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642" cy="152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9C" w:rsidRPr="005A349C">
      <w:rPr>
        <w:rFonts w:ascii="Trebuchet MS" w:hAnsi="Trebuchet MS" w:cs="Arial"/>
        <w:color w:val="2525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05pt;height:11.05pt" o:bullet="t">
        <v:imagedata r:id="rId1" o:title="msoC5A4"/>
      </v:shape>
    </w:pict>
  </w:numPicBullet>
  <w:abstractNum w:abstractNumId="0" w15:restartNumberingAfterBreak="0">
    <w:nsid w:val="1D45114F"/>
    <w:multiLevelType w:val="hybridMultilevel"/>
    <w:tmpl w:val="8DEABD7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201B1"/>
    <w:multiLevelType w:val="hybridMultilevel"/>
    <w:tmpl w:val="011E48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FE475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73EEC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CC1E7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CAA346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436B4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44EEA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C32BBC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0625EED"/>
    <w:multiLevelType w:val="multilevel"/>
    <w:tmpl w:val="DE62FF0E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i w:val="0"/>
        <w:color w:val="1F4E79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1DF2716"/>
    <w:multiLevelType w:val="hybridMultilevel"/>
    <w:tmpl w:val="44747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6A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8FE475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73EEC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CC1E7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CAA346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436B4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44EEA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C32BBC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5B10FCB"/>
    <w:multiLevelType w:val="hybridMultilevel"/>
    <w:tmpl w:val="0FCA2BB8"/>
    <w:lvl w:ilvl="0" w:tplc="A0F66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86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E4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EE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C1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A3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6B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4E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2B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D7B98"/>
    <w:multiLevelType w:val="hybridMultilevel"/>
    <w:tmpl w:val="7D582C1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FE475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73EEC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CC1E7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CAA346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436B4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44EEA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C32BBC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0"/>
    <w:rsid w:val="0002316B"/>
    <w:rsid w:val="00072556"/>
    <w:rsid w:val="00080808"/>
    <w:rsid w:val="00116057"/>
    <w:rsid w:val="001A4FC9"/>
    <w:rsid w:val="002D396B"/>
    <w:rsid w:val="00354C49"/>
    <w:rsid w:val="00471B7E"/>
    <w:rsid w:val="004A7294"/>
    <w:rsid w:val="004E77D1"/>
    <w:rsid w:val="004F16A8"/>
    <w:rsid w:val="005153EF"/>
    <w:rsid w:val="005A349C"/>
    <w:rsid w:val="008C10A1"/>
    <w:rsid w:val="00972B50"/>
    <w:rsid w:val="00995630"/>
    <w:rsid w:val="009E070A"/>
    <w:rsid w:val="00C5207A"/>
    <w:rsid w:val="00C62BA2"/>
    <w:rsid w:val="00C81AC2"/>
    <w:rsid w:val="00C869EB"/>
    <w:rsid w:val="00C95449"/>
    <w:rsid w:val="00D1003A"/>
    <w:rsid w:val="00D616B0"/>
    <w:rsid w:val="00E31118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E305"/>
  <w15:chartTrackingRefBased/>
  <w15:docId w15:val="{79270F8F-F2CE-45DE-B36C-89A8C30F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B0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6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B0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1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B0"/>
    <w:rPr>
      <w:rFonts w:ascii="Calibri" w:eastAsia="Calibri" w:hAnsi="Calibri" w:cs="Times New Roman"/>
      <w:lang w:val="el-GR"/>
    </w:rPr>
  </w:style>
  <w:style w:type="paragraph" w:styleId="ListParagraph">
    <w:name w:val="List Paragraph"/>
    <w:basedOn w:val="Normal"/>
    <w:uiPriority w:val="34"/>
    <w:qFormat/>
    <w:rsid w:val="00072556"/>
    <w:pPr>
      <w:ind w:left="720"/>
      <w:contextualSpacing/>
    </w:pPr>
  </w:style>
  <w:style w:type="paragraph" w:customStyle="1" w:styleId="a">
    <w:name w:val="Βασικό"/>
    <w:rsid w:val="00F33D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91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03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at-energ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4</cp:revision>
  <dcterms:created xsi:type="dcterms:W3CDTF">2020-06-29T14:35:00Z</dcterms:created>
  <dcterms:modified xsi:type="dcterms:W3CDTF">2020-06-29T15:23:00Z</dcterms:modified>
</cp:coreProperties>
</file>